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School of Law</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Alumni Association</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 Statement</w:t>
      </w:r>
    </w:p>
    <w:p w:rsidR="00000000" w:rsidDel="00000000" w:rsidP="00000000" w:rsidRDefault="00000000" w:rsidRPr="00000000" w14:paraId="00000005">
      <w:pPr>
        <w:spacing w:line="480" w:lineRule="auto"/>
        <w:jc w:val="both"/>
        <w:rPr>
          <w:rFonts w:ascii="Open Sans" w:cs="Open Sans" w:eastAsia="Open Sans" w:hAnsi="Open Sans"/>
          <w:color w:val="4d5051"/>
          <w:sz w:val="24"/>
          <w:szCs w:val="24"/>
        </w:rPr>
      </w:pPr>
      <w:r w:rsidDel="00000000" w:rsidR="00000000" w:rsidRPr="00000000">
        <w:rPr>
          <w:rFonts w:ascii="Times New Roman" w:cs="Times New Roman" w:eastAsia="Times New Roman" w:hAnsi="Times New Roman"/>
          <w:sz w:val="24"/>
          <w:szCs w:val="24"/>
          <w:rtl w:val="0"/>
        </w:rPr>
        <w:t xml:space="preserve">School of Law, CHRIST (Deemed to be University), Pune Lavasa Campus, Alumni Association intends to keep the alumni involved in the activities of the university so that they may thrive in their environment and become lifelong ambassadors for their university. The Association is committed to practicing leadership in the areas of alumni relations, communication, support, and development, to ensure that the School of Law, CHRIST, Pune Lavasa family prospers. In order to achieve this goal, our constituents’ right to privacy should be respected. The University shall deal confidentially with and avoid disseminating alumni information without proper knowledge of the intended purpose. </w:t>
      </w:r>
      <w:r w:rsidDel="00000000" w:rsidR="00000000" w:rsidRPr="00000000">
        <w:rPr>
          <w:rtl w:val="0"/>
        </w:rPr>
      </w:r>
    </w:p>
    <w:p w:rsidR="00000000" w:rsidDel="00000000" w:rsidP="00000000" w:rsidRDefault="00000000" w:rsidRPr="00000000" w14:paraId="00000006">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 and Rationale:</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0" w:line="48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Maintaining and updating records of </w:t>
      </w:r>
      <w:r w:rsidDel="00000000" w:rsidR="00000000" w:rsidRPr="00000000">
        <w:rPr>
          <w:rFonts w:ascii="Times New Roman" w:cs="Times New Roman" w:eastAsia="Times New Roman" w:hAnsi="Times New Roman"/>
          <w:sz w:val="24"/>
          <w:szCs w:val="24"/>
          <w:rtl w:val="0"/>
        </w:rPr>
        <w:t xml:space="preserve">School of Law,</w:t>
      </w:r>
      <w:r w:rsidDel="00000000" w:rsidR="00000000" w:rsidRPr="00000000">
        <w:rPr>
          <w:rFonts w:ascii="Times New Roman" w:cs="Times New Roman" w:eastAsia="Times New Roman" w:hAnsi="Times New Roman"/>
          <w:color w:val="000000"/>
          <w:sz w:val="24"/>
          <w:szCs w:val="24"/>
          <w:rtl w:val="0"/>
        </w:rPr>
        <w:t xml:space="preserve"> alumni, personal, contact, occupational, and academic information. </w:t>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after="0" w:line="48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Maintaining increased, relevant, and interesting communication with </w:t>
      </w:r>
      <w:r w:rsidDel="00000000" w:rsidR="00000000" w:rsidRPr="00000000">
        <w:rPr>
          <w:rFonts w:ascii="Times New Roman" w:cs="Times New Roman" w:eastAsia="Times New Roman" w:hAnsi="Times New Roman"/>
          <w:sz w:val="24"/>
          <w:szCs w:val="24"/>
          <w:rtl w:val="0"/>
        </w:rPr>
        <w:t xml:space="preserve">School of Law alumni</w:t>
      </w:r>
      <w:r w:rsidDel="00000000" w:rsidR="00000000" w:rsidRPr="00000000">
        <w:rPr>
          <w:rFonts w:ascii="Times New Roman" w:cs="Times New Roman" w:eastAsia="Times New Roman" w:hAnsi="Times New Roman"/>
          <w:color w:val="000000"/>
          <w:sz w:val="24"/>
          <w:szCs w:val="24"/>
          <w:rtl w:val="0"/>
        </w:rPr>
        <w:t xml:space="preserve"> to promote their integration into </w:t>
      </w:r>
      <w:r w:rsidDel="00000000" w:rsidR="00000000" w:rsidRPr="00000000">
        <w:rPr>
          <w:rFonts w:ascii="Times New Roman" w:cs="Times New Roman" w:eastAsia="Times New Roman" w:hAnsi="Times New Roman"/>
          <w:sz w:val="24"/>
          <w:szCs w:val="24"/>
          <w:rtl w:val="0"/>
        </w:rPr>
        <w:t xml:space="preserve">CHRIST </w:t>
      </w:r>
      <w:r w:rsidDel="00000000" w:rsidR="00000000" w:rsidRPr="00000000">
        <w:rPr>
          <w:rFonts w:ascii="Times New Roman" w:cs="Times New Roman" w:eastAsia="Times New Roman" w:hAnsi="Times New Roman"/>
          <w:color w:val="000000"/>
          <w:sz w:val="24"/>
          <w:szCs w:val="24"/>
          <w:rtl w:val="0"/>
        </w:rPr>
        <w:t xml:space="preserve">university life. </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0" w:line="48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Supporting Association activities and events and acting as a liaison between the Association and the University. </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0" w:line="48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Extending career services to the members of </w:t>
      </w:r>
      <w:r w:rsidDel="00000000" w:rsidR="00000000" w:rsidRPr="00000000">
        <w:rPr>
          <w:rFonts w:ascii="Times New Roman" w:cs="Times New Roman" w:eastAsia="Times New Roman" w:hAnsi="Times New Roman"/>
          <w:sz w:val="24"/>
          <w:szCs w:val="24"/>
          <w:rtl w:val="0"/>
        </w:rPr>
        <w:t xml:space="preserve">School of Law,</w:t>
      </w:r>
      <w:r w:rsidDel="00000000" w:rsidR="00000000" w:rsidRPr="00000000">
        <w:rPr>
          <w:rFonts w:ascii="Times New Roman" w:cs="Times New Roman" w:eastAsia="Times New Roman" w:hAnsi="Times New Roman"/>
          <w:color w:val="000000"/>
          <w:sz w:val="24"/>
          <w:szCs w:val="24"/>
          <w:rtl w:val="0"/>
        </w:rPr>
        <w:t xml:space="preserve"> alumni and </w:t>
      </w:r>
      <w:r w:rsidDel="00000000" w:rsidR="00000000" w:rsidRPr="00000000">
        <w:rPr>
          <w:rFonts w:ascii="Times New Roman" w:cs="Times New Roman" w:eastAsia="Times New Roman" w:hAnsi="Times New Roman"/>
          <w:sz w:val="24"/>
          <w:szCs w:val="24"/>
          <w:rtl w:val="0"/>
        </w:rPr>
        <w:t xml:space="preserve">assisting</w:t>
      </w:r>
      <w:r w:rsidDel="00000000" w:rsidR="00000000" w:rsidRPr="00000000">
        <w:rPr>
          <w:rFonts w:ascii="Times New Roman" w:cs="Times New Roman" w:eastAsia="Times New Roman" w:hAnsi="Times New Roman"/>
          <w:color w:val="000000"/>
          <w:sz w:val="24"/>
          <w:szCs w:val="24"/>
          <w:rtl w:val="0"/>
        </w:rPr>
        <w:t xml:space="preserve"> them in all aspects of their career development process. </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0" w:line="48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This includes providing information on available employment opportunities, seminars, and conferences by major </w:t>
      </w:r>
      <w:r w:rsidDel="00000000" w:rsidR="00000000" w:rsidRPr="00000000">
        <w:rPr>
          <w:rFonts w:ascii="Times New Roman" w:cs="Times New Roman" w:eastAsia="Times New Roman" w:hAnsi="Times New Roman"/>
          <w:sz w:val="24"/>
          <w:szCs w:val="24"/>
          <w:rtl w:val="0"/>
        </w:rPr>
        <w:t xml:space="preserve">areas</w:t>
      </w:r>
      <w:r w:rsidDel="00000000" w:rsidR="00000000" w:rsidRPr="00000000">
        <w:rPr>
          <w:rFonts w:ascii="Times New Roman" w:cs="Times New Roman" w:eastAsia="Times New Roman" w:hAnsi="Times New Roman"/>
          <w:color w:val="000000"/>
          <w:sz w:val="24"/>
          <w:szCs w:val="24"/>
          <w:rtl w:val="0"/>
        </w:rPr>
        <w:t xml:space="preserve"> of specialization.</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line="48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Developing an alumni magazine that </w:t>
      </w:r>
      <w:r w:rsidDel="00000000" w:rsidR="00000000" w:rsidRPr="00000000">
        <w:rPr>
          <w:rFonts w:ascii="Times New Roman" w:cs="Times New Roman" w:eastAsia="Times New Roman" w:hAnsi="Times New Roman"/>
          <w:sz w:val="24"/>
          <w:szCs w:val="24"/>
          <w:rtl w:val="0"/>
        </w:rPr>
        <w:t xml:space="preserve">publishes</w:t>
      </w:r>
      <w:r w:rsidDel="00000000" w:rsidR="00000000" w:rsidRPr="00000000">
        <w:rPr>
          <w:rFonts w:ascii="Times New Roman" w:cs="Times New Roman" w:eastAsia="Times New Roman" w:hAnsi="Times New Roman"/>
          <w:color w:val="000000"/>
          <w:sz w:val="24"/>
          <w:szCs w:val="24"/>
          <w:rtl w:val="0"/>
        </w:rPr>
        <w:t xml:space="preserve"> information </w:t>
      </w:r>
      <w:r w:rsidDel="00000000" w:rsidR="00000000" w:rsidRPr="00000000">
        <w:rPr>
          <w:rFonts w:ascii="Times New Roman" w:cs="Times New Roman" w:eastAsia="Times New Roman" w:hAnsi="Times New Roman"/>
          <w:sz w:val="24"/>
          <w:szCs w:val="24"/>
          <w:rtl w:val="0"/>
        </w:rPr>
        <w:t xml:space="preserve">about the School of Law </w:t>
      </w:r>
      <w:r w:rsidDel="00000000" w:rsidR="00000000" w:rsidRPr="00000000">
        <w:rPr>
          <w:rFonts w:ascii="Times New Roman" w:cs="Times New Roman" w:eastAsia="Times New Roman" w:hAnsi="Times New Roman"/>
          <w:color w:val="000000"/>
          <w:sz w:val="24"/>
          <w:szCs w:val="24"/>
          <w:rtl w:val="0"/>
        </w:rPr>
        <w:t xml:space="preserve">alumni success stories, reunions and other events, alumni activities.</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48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from the alumni database </w:t>
      </w:r>
      <w:r w:rsidDel="00000000" w:rsidR="00000000" w:rsidRPr="00000000">
        <w:rPr>
          <w:rFonts w:ascii="Times New Roman" w:cs="Times New Roman" w:eastAsia="Times New Roman" w:hAnsi="Times New Roman"/>
          <w:sz w:val="24"/>
          <w:szCs w:val="24"/>
          <w:rtl w:val="0"/>
        </w:rPr>
        <w:t xml:space="preserve">will not be available</w:t>
      </w:r>
      <w:r w:rsidDel="00000000" w:rsidR="00000000" w:rsidRPr="00000000">
        <w:rPr>
          <w:rFonts w:ascii="Times New Roman" w:cs="Times New Roman" w:eastAsia="Times New Roman" w:hAnsi="Times New Roman"/>
          <w:color w:val="000000"/>
          <w:sz w:val="24"/>
          <w:szCs w:val="24"/>
          <w:rtl w:val="0"/>
        </w:rPr>
        <w:t xml:space="preserve"> for release for commercial or political purposes at any time. </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line="48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Alumni requesting individual information on other alumni will be </w:t>
      </w:r>
      <w:r w:rsidDel="00000000" w:rsidR="00000000" w:rsidRPr="00000000">
        <w:rPr>
          <w:rFonts w:ascii="Times New Roman" w:cs="Times New Roman" w:eastAsia="Times New Roman" w:hAnsi="Times New Roman"/>
          <w:sz w:val="24"/>
          <w:szCs w:val="24"/>
          <w:rtl w:val="0"/>
        </w:rPr>
        <w:t xml:space="preserve">referred to the </w:t>
      </w:r>
      <w:r w:rsidDel="00000000" w:rsidR="00000000" w:rsidRPr="00000000">
        <w:rPr>
          <w:rFonts w:ascii="Times New Roman" w:cs="Times New Roman" w:eastAsia="Times New Roman" w:hAnsi="Times New Roman"/>
          <w:color w:val="000000"/>
          <w:sz w:val="24"/>
          <w:szCs w:val="24"/>
          <w:rtl w:val="0"/>
        </w:rPr>
        <w:t xml:space="preserve">department where they can find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color w:val="000000"/>
          <w:sz w:val="24"/>
          <w:szCs w:val="24"/>
          <w:rtl w:val="0"/>
        </w:rPr>
        <w:t xml:space="preserve">name and contact information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color w:val="000000"/>
          <w:sz w:val="24"/>
          <w:szCs w:val="24"/>
          <w:rtl w:val="0"/>
        </w:rPr>
        <w:t xml:space="preserve"> alumni who have made their information available for access. </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line="48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information provided will be limited to those alumni who are affiliated with the university and the specific purpose or activity.</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 officio coordinator: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 of the Department, School of Law</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Outcomes:</w:t>
      </w:r>
    </w:p>
    <w:p w:rsidR="00000000" w:rsidDel="00000000" w:rsidP="00000000" w:rsidRDefault="00000000" w:rsidRPr="00000000" w14:paraId="00000013">
      <w:pPr>
        <w:numPr>
          <w:ilvl w:val="0"/>
          <w:numId w:val="1"/>
        </w:numPr>
        <w:pBdr>
          <w:bottom w:color="000000" w:space="6" w:sz="0" w:val="none"/>
        </w:pBdr>
        <w:shd w:fill="ffffff" w:val="clear"/>
        <w:spacing w:after="0" w:line="3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 efforts with the Alumni and Constituent Engagement team and other university representatives.</w:t>
      </w:r>
    </w:p>
    <w:p w:rsidR="00000000" w:rsidDel="00000000" w:rsidP="00000000" w:rsidRDefault="00000000" w:rsidRPr="00000000" w14:paraId="00000014">
      <w:pPr>
        <w:numPr>
          <w:ilvl w:val="0"/>
          <w:numId w:val="1"/>
        </w:numPr>
        <w:pBdr>
          <w:bottom w:color="000000" w:space="6" w:sz="0" w:val="none"/>
        </w:pBdr>
        <w:shd w:fill="ffffff" w:val="clear"/>
        <w:spacing w:after="0" w:line="3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active volunteer leadership</w:t>
      </w:r>
    </w:p>
    <w:p w:rsidR="00000000" w:rsidDel="00000000" w:rsidP="00000000" w:rsidRDefault="00000000" w:rsidRPr="00000000" w14:paraId="00000015">
      <w:pPr>
        <w:numPr>
          <w:ilvl w:val="0"/>
          <w:numId w:val="1"/>
        </w:numPr>
        <w:pBdr>
          <w:bottom w:color="000000" w:space="6" w:sz="0" w:val="none"/>
        </w:pBdr>
        <w:shd w:fill="ffffff" w:val="clear"/>
        <w:spacing w:after="0" w:line="39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Adhere to standards and operating principles set forth by the Alumni and the university.</w:t>
      </w:r>
    </w:p>
    <w:p w:rsidR="00000000" w:rsidDel="00000000" w:rsidP="00000000" w:rsidRDefault="00000000" w:rsidRPr="00000000" w14:paraId="00000016">
      <w:pPr>
        <w:pBdr>
          <w:bottom w:color="000000" w:space="6" w:sz="0" w:val="none"/>
        </w:pBdr>
        <w:shd w:fill="ffffff" w:val="clear"/>
        <w:spacing w:after="0" w:line="39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Strategic Plans:</w:t>
      </w:r>
    </w:p>
    <w:p w:rsidR="00000000" w:rsidDel="00000000" w:rsidP="00000000" w:rsidRDefault="00000000" w:rsidRPr="00000000" w14:paraId="00000017">
      <w:pPr>
        <w:numPr>
          <w:ilvl w:val="0"/>
          <w:numId w:val="2"/>
        </w:numPr>
        <w:pBdr>
          <w:bottom w:color="000000" w:space="6" w:sz="0" w:val="none"/>
        </w:pBdr>
        <w:shd w:fill="ffffff" w:val="clear"/>
        <w:spacing w:after="0" w:line="395"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Arranging guest lectures, seminars, career-oriented programmes, and freshers’ orientation programmes.</w:t>
      </w:r>
      <w:r w:rsidDel="00000000" w:rsidR="00000000" w:rsidRPr="00000000">
        <w:rPr>
          <w:rtl w:val="0"/>
        </w:rPr>
      </w:r>
    </w:p>
    <w:p w:rsidR="00000000" w:rsidDel="00000000" w:rsidP="00000000" w:rsidRDefault="00000000" w:rsidRPr="00000000" w14:paraId="00000018">
      <w:pPr>
        <w:numPr>
          <w:ilvl w:val="0"/>
          <w:numId w:val="2"/>
        </w:numPr>
        <w:pBdr>
          <w:bottom w:color="000000" w:space="6" w:sz="0" w:val="none"/>
        </w:pBdr>
        <w:shd w:fill="ffffff" w:val="clear"/>
        <w:spacing w:after="0" w:line="395"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Popularizing department programmes among the students and the members of the public</w:t>
      </w:r>
      <w:r w:rsidDel="00000000" w:rsidR="00000000" w:rsidRPr="00000000">
        <w:rPr>
          <w:rtl w:val="0"/>
        </w:rPr>
      </w:r>
    </w:p>
    <w:p w:rsidR="00000000" w:rsidDel="00000000" w:rsidP="00000000" w:rsidRDefault="00000000" w:rsidRPr="00000000" w14:paraId="00000019">
      <w:pPr>
        <w:numPr>
          <w:ilvl w:val="0"/>
          <w:numId w:val="2"/>
        </w:numPr>
        <w:pBdr>
          <w:bottom w:color="000000" w:space="6" w:sz="0" w:val="none"/>
        </w:pBdr>
        <w:shd w:fill="ffffff" w:val="clear"/>
        <w:spacing w:after="0" w:line="395"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Supporting Placements and internships of students.</w:t>
      </w:r>
      <w:r w:rsidDel="00000000" w:rsidR="00000000" w:rsidRPr="00000000">
        <w:rPr>
          <w:rtl w:val="0"/>
        </w:rPr>
      </w:r>
    </w:p>
    <w:p w:rsidR="00000000" w:rsidDel="00000000" w:rsidP="00000000" w:rsidRDefault="00000000" w:rsidRPr="00000000" w14:paraId="0000001A">
      <w:pPr>
        <w:numPr>
          <w:ilvl w:val="0"/>
          <w:numId w:val="2"/>
        </w:numPr>
        <w:pBdr>
          <w:bottom w:color="000000" w:space="6" w:sz="0" w:val="none"/>
        </w:pBdr>
        <w:shd w:fill="ffffff" w:val="clear"/>
        <w:spacing w:after="0" w:line="395"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Extending support for organizing intra and intercollegiate festivals in the campus through sponsorship, contacting eminent speakers and helping as judges/evaluators of competitions held on campus</w:t>
      </w:r>
      <w:r w:rsidDel="00000000" w:rsidR="00000000" w:rsidRPr="00000000">
        <w:rPr>
          <w:rtl w:val="0"/>
        </w:rPr>
      </w:r>
    </w:p>
    <w:p w:rsidR="00000000" w:rsidDel="00000000" w:rsidP="00000000" w:rsidRDefault="00000000" w:rsidRPr="00000000" w14:paraId="0000001B">
      <w:pPr>
        <w:numPr>
          <w:ilvl w:val="0"/>
          <w:numId w:val="2"/>
        </w:numPr>
        <w:pBdr>
          <w:bottom w:color="000000" w:space="6" w:sz="0" w:val="none"/>
        </w:pBdr>
        <w:shd w:fill="ffffff" w:val="clear"/>
        <w:spacing w:after="0" w:line="395" w:lineRule="auto"/>
        <w:ind w:left="720" w:hanging="36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Support child sponsorship programmes, scholarships, community-based programmes and so forth.</w:t>
      </w:r>
      <w:r w:rsidDel="00000000" w:rsidR="00000000" w:rsidRPr="00000000">
        <w:rPr>
          <w:rtl w:val="0"/>
        </w:rPr>
      </w:r>
    </w:p>
    <w:p w:rsidR="00000000" w:rsidDel="00000000" w:rsidP="00000000" w:rsidRDefault="00000000" w:rsidRPr="00000000" w14:paraId="0000001C">
      <w:pPr>
        <w:pBdr>
          <w:bottom w:color="000000" w:space="6" w:sz="0" w:val="none"/>
        </w:pBdr>
        <w:shd w:fill="ffffff" w:val="clear"/>
        <w:spacing w:after="240" w:line="395"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w:t>
      </w:r>
    </w:p>
    <w:p w:rsidR="00000000" w:rsidDel="00000000" w:rsidP="00000000" w:rsidRDefault="00000000" w:rsidRPr="00000000" w14:paraId="0000001D">
      <w:pPr>
        <w:spacing w:line="360" w:lineRule="auto"/>
        <w:jc w:val="both"/>
        <w:rPr>
          <w:rFonts w:ascii="Times New Roman" w:cs="Times New Roman" w:eastAsia="Times New Roman" w:hAnsi="Times New Roman"/>
          <w:b w:val="1"/>
          <w:sz w:val="24"/>
          <w:szCs w:val="24"/>
        </w:rPr>
      </w:pPr>
      <w:r w:rsidDel="00000000" w:rsidR="00000000" w:rsidRPr="00000000">
        <w:rPr>
          <w:rtl w:val="0"/>
        </w:rPr>
      </w:r>
    </w:p>
    <w:sectPr>
      <w:headerReference r:id="rId7" w:type="default"/>
      <w:pgSz w:h="16838" w:w="11906" w:orient="portrait"/>
      <w:pgMar w:bottom="1418" w:top="1440"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color w:val="707070"/>
        <w:sz w:val="21"/>
        <w:szCs w:val="2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276CF6"/>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0lhZu8Zn6T25PtNYC2IMA69Eg==">AMUW2mVOc/dqxASiqtX/iWCHvNOKb+hCb3kDzb//aHoy5pXGaHr8qoz04+vXo+W06sGbnC2g59WtKqxG5SA6BnEiZ9NSJJVAWShLeWA9i+GWliU1Oi/fETA=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2022-10-04T04:25:00Z</dcterms:created>
  <dc:creator>arjun george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fe34955c47b9bf50863e9a57819d59b34e4481a96bcebd17899c7304f9fb7bf3</vt:lpwstr>
  </property>
</Properties>
</file>